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5DFB7454"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w:t>
      </w:r>
      <w:r w:rsidR="00344F4E">
        <w:rPr>
          <w:rFonts w:ascii="Times New Roman" w:hAnsi="Times New Roman" w:cs="Times New Roman"/>
        </w:rPr>
        <w:t>Preliminari t</w:t>
      </w:r>
      <w:r w:rsidRPr="00A2388C">
        <w:rPr>
          <w:rFonts w:ascii="Times New Roman" w:hAnsi="Times New Roman" w:cs="Times New Roman"/>
        </w:rPr>
        <w:t>echninė specifikacija</w:t>
      </w:r>
      <w:r w:rsidR="003644B7">
        <w:rPr>
          <w:rFonts w:ascii="Times New Roman" w:hAnsi="Times New Roman" w:cs="Times New Roman"/>
        </w:rPr>
        <w:t>;</w:t>
      </w:r>
    </w:p>
    <w:p w14:paraId="445306DE" w14:textId="649C44BE" w:rsidR="003644B7" w:rsidRPr="00344F4E" w:rsidRDefault="003644B7" w:rsidP="00672EFB">
      <w:pPr>
        <w:spacing w:after="0" w:line="240" w:lineRule="auto"/>
        <w:rPr>
          <w:rFonts w:ascii="Times New Roman" w:hAnsi="Times New Roman" w:cs="Times New Roman"/>
        </w:rPr>
      </w:pPr>
      <w:r w:rsidRPr="00344F4E">
        <w:rPr>
          <w:rFonts w:ascii="Times New Roman" w:hAnsi="Times New Roman" w:cs="Times New Roman"/>
        </w:rPr>
        <w:t xml:space="preserve">Priedas Nr. 3 – Tiekėjų </w:t>
      </w:r>
      <w:r w:rsidR="00344F4E" w:rsidRPr="00344F4E">
        <w:rPr>
          <w:rFonts w:ascii="Times New Roman" w:hAnsi="Times New Roman" w:cs="Times New Roman"/>
        </w:rPr>
        <w:t>kvalifikacijos reikalavimai</w:t>
      </w:r>
      <w:r w:rsidRPr="00344F4E">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291D8BEF" w:rsidR="0097443E" w:rsidRPr="000F47FB" w:rsidRDefault="0097443E" w:rsidP="000F47FB">
            <w:pPr>
              <w:jc w:val="both"/>
              <w:rPr>
                <w:rFonts w:ascii="Times New Roman" w:hAnsi="Times New Roman" w:cs="Times New Roman"/>
              </w:rPr>
            </w:pPr>
            <w:r w:rsidRPr="00A2388C">
              <w:rPr>
                <w:rFonts w:ascii="Times New Roman" w:hAnsi="Times New Roman" w:cs="Times New Roman"/>
              </w:rPr>
              <w:t xml:space="preserve">Ar </w:t>
            </w:r>
            <w:r w:rsidR="00344F4E">
              <w:rPr>
                <w:rFonts w:ascii="Times New Roman" w:hAnsi="Times New Roman" w:cs="Times New Roman"/>
              </w:rPr>
              <w:t xml:space="preserve">preliminari </w:t>
            </w:r>
            <w:r w:rsidRPr="00A2388C">
              <w:rPr>
                <w:rFonts w:ascii="Times New Roman" w:hAnsi="Times New Roman" w:cs="Times New Roman"/>
              </w:rPr>
              <w:t>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79011496" w14:textId="5C5575A6" w:rsidR="0097443E" w:rsidRPr="000F47FB"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lastRenderedPageBreak/>
              <w:t>4</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r w:rsidR="0097443E" w:rsidRPr="000F47FB" w14:paraId="16AA5BF7" w14:textId="77777777" w:rsidTr="0097443E">
        <w:trPr>
          <w:trHeight w:val="645"/>
        </w:trPr>
        <w:tc>
          <w:tcPr>
            <w:tcW w:w="344" w:type="pct"/>
            <w:vAlign w:val="center"/>
          </w:tcPr>
          <w:p w14:paraId="3E6BC5E8" w14:textId="749432A1" w:rsidR="0097443E" w:rsidRPr="005954AF" w:rsidRDefault="0097443E" w:rsidP="000F47FB">
            <w:pPr>
              <w:jc w:val="center"/>
              <w:rPr>
                <w:rFonts w:ascii="Times New Roman" w:hAnsi="Times New Roman" w:cs="Times New Roman"/>
                <w:bCs/>
                <w:i/>
                <w:iCs/>
              </w:rPr>
            </w:pPr>
            <w:r w:rsidRPr="005954AF">
              <w:rPr>
                <w:rFonts w:ascii="Times New Roman" w:hAnsi="Times New Roman" w:cs="Times New Roman"/>
                <w:bCs/>
                <w:i/>
                <w:iCs/>
              </w:rPr>
              <w:t>6</w:t>
            </w:r>
          </w:p>
        </w:tc>
        <w:tc>
          <w:tcPr>
            <w:tcW w:w="2854" w:type="pct"/>
            <w:vAlign w:val="center"/>
          </w:tcPr>
          <w:p w14:paraId="47942DEC" w14:textId="24310809" w:rsidR="0097443E" w:rsidRPr="005954AF" w:rsidRDefault="0097443E" w:rsidP="000F47FB">
            <w:pPr>
              <w:rPr>
                <w:rFonts w:ascii="Times New Roman" w:hAnsi="Times New Roman" w:cs="Times New Roman"/>
              </w:rPr>
            </w:pPr>
            <w:r w:rsidRPr="005954AF">
              <w:rPr>
                <w:rFonts w:ascii="Times New Roman" w:hAnsi="Times New Roman" w:cs="Times New Roman"/>
              </w:rPr>
              <w:t xml:space="preserve">Ar pasirinktas pirkimo skaidymas į </w:t>
            </w:r>
            <w:r w:rsidR="005954AF" w:rsidRPr="005954AF">
              <w:rPr>
                <w:rFonts w:ascii="Times New Roman" w:hAnsi="Times New Roman" w:cs="Times New Roman"/>
              </w:rPr>
              <w:t>kategorijas</w:t>
            </w:r>
            <w:r w:rsidRPr="005954AF">
              <w:rPr>
                <w:rFonts w:ascii="Times New Roman" w:hAnsi="Times New Roman" w:cs="Times New Roman"/>
              </w:rPr>
              <w:t xml:space="preserve"> ir nustatytos pirkimo </w:t>
            </w:r>
            <w:r w:rsidR="005954AF" w:rsidRPr="005954AF">
              <w:rPr>
                <w:rFonts w:ascii="Times New Roman" w:hAnsi="Times New Roman" w:cs="Times New Roman"/>
              </w:rPr>
              <w:t>kategorijos</w:t>
            </w:r>
            <w:r w:rsidRPr="005954AF">
              <w:rPr>
                <w:rFonts w:ascii="Times New Roman" w:hAnsi="Times New Roman" w:cs="Times New Roman"/>
              </w:rPr>
              <w:t xml:space="preserve"> užtikrina galimybę pirkimo objektą įsigyti efektyviai ir neapriboja tiekėjų dalyvavimo pirkime. Kaip kitaip būtų galima išskaidyti pirkimo objektą, kad kuo didesnis tiekėjų ratas galėtų pateikti pasiūlymus?</w:t>
            </w:r>
          </w:p>
        </w:tc>
        <w:tc>
          <w:tcPr>
            <w:tcW w:w="1802" w:type="pct"/>
            <w:vAlign w:val="center"/>
          </w:tcPr>
          <w:p w14:paraId="1AB28C01"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3FEC3C2E" w14:textId="0530CBC2" w:rsidR="00C2229C" w:rsidRPr="005954AF" w:rsidRDefault="00C2229C" w:rsidP="005954AF">
      <w:pPr>
        <w:rPr>
          <w:rFonts w:ascii="Times New Roman" w:hAnsi="Times New Roman" w:cs="Times New Roman"/>
        </w:rPr>
      </w:pPr>
    </w:p>
    <w:sectPr w:rsidR="00C2229C" w:rsidRPr="005954AF"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1B2D5" w14:textId="77777777" w:rsidR="004C6223" w:rsidRDefault="004C6223" w:rsidP="00313D44">
      <w:pPr>
        <w:spacing w:after="0" w:line="240" w:lineRule="auto"/>
      </w:pPr>
      <w:r>
        <w:separator/>
      </w:r>
    </w:p>
  </w:endnote>
  <w:endnote w:type="continuationSeparator" w:id="0">
    <w:p w14:paraId="52A0CC6F" w14:textId="77777777" w:rsidR="004C6223" w:rsidRDefault="004C6223" w:rsidP="00313D44">
      <w:pPr>
        <w:spacing w:after="0" w:line="240" w:lineRule="auto"/>
      </w:pPr>
      <w:r>
        <w:continuationSeparator/>
      </w:r>
    </w:p>
  </w:endnote>
  <w:endnote w:type="continuationNotice" w:id="1">
    <w:p w14:paraId="217A6482" w14:textId="77777777" w:rsidR="004C6223" w:rsidRDefault="004C62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End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2B1F6" w14:textId="77777777" w:rsidR="004C6223" w:rsidRDefault="004C6223" w:rsidP="00313D44">
      <w:pPr>
        <w:spacing w:after="0" w:line="240" w:lineRule="auto"/>
      </w:pPr>
      <w:r>
        <w:separator/>
      </w:r>
    </w:p>
  </w:footnote>
  <w:footnote w:type="continuationSeparator" w:id="0">
    <w:p w14:paraId="10628DE4" w14:textId="77777777" w:rsidR="004C6223" w:rsidRDefault="004C6223" w:rsidP="00313D44">
      <w:pPr>
        <w:spacing w:after="0" w:line="240" w:lineRule="auto"/>
      </w:pPr>
      <w:r>
        <w:continuationSeparator/>
      </w:r>
    </w:p>
  </w:footnote>
  <w:footnote w:type="continuationNotice" w:id="1">
    <w:p w14:paraId="463E9276" w14:textId="77777777" w:rsidR="004C6223" w:rsidRDefault="004C6223">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1AF67C61" w14:textId="77777777" w:rsidR="00344F4E" w:rsidRPr="00344F4E" w:rsidRDefault="00344F4E" w:rsidP="00344F4E">
          <w:pPr>
            <w:pStyle w:val="Antrats"/>
            <w:jc w:val="center"/>
            <w:rPr>
              <w:rFonts w:ascii="Times New Roman" w:eastAsia="Arial Narrow" w:hAnsi="Times New Roman" w:cs="Times New Roman"/>
              <w:b/>
              <w:bCs/>
              <w:color w:val="242424"/>
            </w:rPr>
          </w:pPr>
          <w:r w:rsidRPr="00344F4E">
            <w:rPr>
              <w:rFonts w:ascii="Times New Roman" w:eastAsia="Arial Narrow" w:hAnsi="Times New Roman" w:cs="Times New Roman"/>
              <w:b/>
              <w:bCs/>
              <w:color w:val="242424"/>
            </w:rPr>
            <w:t>(PI-12047/26) Inžinerinio projektavimo ir su juo susijusios paslaugos</w:t>
          </w:r>
        </w:p>
        <w:p w14:paraId="73C16FFE" w14:textId="29FE46FF" w:rsidR="00891C35" w:rsidRPr="00891C35" w:rsidRDefault="00891C35" w:rsidP="000F47FB">
          <w:pPr>
            <w:pStyle w:val="Antrats"/>
            <w:jc w:val="center"/>
            <w:rPr>
              <w:rFonts w:ascii="Times New Roman" w:hAnsi="Times New Roman" w:cs="Times New Roman"/>
              <w:b/>
              <w:bCs/>
              <w:color w:val="000000"/>
              <w:sz w:val="24"/>
              <w:szCs w:val="24"/>
            </w:rPr>
          </w:pP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7BBD8609" w14:textId="77777777" w:rsidR="00344F4E" w:rsidRPr="00344F4E" w:rsidRDefault="00344F4E" w:rsidP="00344F4E">
                <w:pPr>
                  <w:pStyle w:val="Antrats"/>
                  <w:jc w:val="center"/>
                  <w:rPr>
                    <w:rFonts w:ascii="Times New Roman" w:eastAsia="Arial Narrow" w:hAnsi="Times New Roman" w:cs="Times New Roman"/>
                    <w:b/>
                    <w:bCs/>
                    <w:color w:val="242424"/>
                  </w:rPr>
                </w:pPr>
                <w:r w:rsidRPr="00344F4E">
                  <w:rPr>
                    <w:rFonts w:ascii="Times New Roman" w:eastAsia="Arial Narrow" w:hAnsi="Times New Roman" w:cs="Times New Roman"/>
                    <w:b/>
                    <w:bCs/>
                    <w:color w:val="242424"/>
                  </w:rPr>
                  <w:t>(PI-12047/26) Inžinerinio projektavimo ir su juo susijusios paslaugos</w:t>
                </w:r>
              </w:p>
              <w:p w14:paraId="003E54A0" w14:textId="19C6D3F1" w:rsidR="00891C35" w:rsidRPr="00891C35" w:rsidRDefault="00891C35" w:rsidP="003D6CA0">
                <w:pPr>
                  <w:pStyle w:val="Antrats"/>
                  <w:jc w:val="center"/>
                  <w:rPr>
                    <w:rFonts w:ascii="Times New Roman" w:hAnsi="Times New Roman" w:cs="Times New Roman"/>
                    <w:b/>
                    <w:bCs/>
                    <w:color w:val="000000"/>
                    <w:sz w:val="24"/>
                    <w:szCs w:val="24"/>
                  </w:rPr>
                </w:pP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4F4E"/>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223"/>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4AF"/>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20F"/>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5214</Words>
  <Characters>2973</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Egidijus Kemeraitis</cp:lastModifiedBy>
  <cp:revision>4</cp:revision>
  <cp:lastPrinted>2019-09-03T10:36:00Z</cp:lastPrinted>
  <dcterms:created xsi:type="dcterms:W3CDTF">2025-03-26T07:22:00Z</dcterms:created>
  <dcterms:modified xsi:type="dcterms:W3CDTF">2026-02-26T11:42:00Z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